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E3" w:rsidRPr="00EA21E3" w:rsidRDefault="00EA21E3" w:rsidP="00EA2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A21E3">
        <w:rPr>
          <w:rFonts w:ascii="Times New Roman" w:eastAsia="Times New Roman" w:hAnsi="Times New Roman" w:cs="Times New Roman"/>
          <w:sz w:val="24"/>
          <w:szCs w:val="24"/>
          <w:lang w:eastAsia="nl-NL"/>
        </w:rPr>
        <w:t>Beknopt Overzicht van de criteria DSM-5 (APA, 2014, uitgeverij Boom, Amsterdam)</w:t>
      </w:r>
    </w:p>
    <w:p w:rsidR="00EA21E3" w:rsidRPr="00EA21E3" w:rsidRDefault="00EA21E3" w:rsidP="00EA2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A21E3">
        <w:rPr>
          <w:rFonts w:ascii="Times New Roman" w:eastAsia="Times New Roman" w:hAnsi="Times New Roman" w:cs="Times New Roman"/>
          <w:sz w:val="24"/>
          <w:szCs w:val="24"/>
          <w:lang w:eastAsia="nl-NL"/>
        </w:rPr>
        <w:t>Moleman</w:t>
      </w:r>
      <w:proofErr w:type="spellEnd"/>
      <w:r w:rsidRPr="00EA21E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P. (2009) ‘Geneesmiddelen voor de geest, een praktische gids’ </w:t>
      </w:r>
      <w:proofErr w:type="spellStart"/>
      <w:r w:rsidRPr="00EA21E3">
        <w:rPr>
          <w:rFonts w:ascii="Times New Roman" w:eastAsia="Times New Roman" w:hAnsi="Times New Roman" w:cs="Times New Roman"/>
          <w:sz w:val="24"/>
          <w:szCs w:val="24"/>
          <w:lang w:eastAsia="nl-NL"/>
        </w:rPr>
        <w:t>Prelum</w:t>
      </w:r>
      <w:proofErr w:type="spellEnd"/>
      <w:r w:rsidRPr="00EA21E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ISBN 9789085620921</w:t>
      </w:r>
    </w:p>
    <w:p w:rsidR="00BE30ED" w:rsidRDefault="00EA21E3"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D4D"/>
    <w:multiLevelType w:val="multilevel"/>
    <w:tmpl w:val="5A8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E3"/>
    <w:rsid w:val="002D5BFB"/>
    <w:rsid w:val="00A4650E"/>
    <w:rsid w:val="00E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83A5-8A65-4A33-BA65-62E508A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2019-02-21T12:26:00Z</dcterms:created>
  <dcterms:modified xsi:type="dcterms:W3CDTF">2019-02-21T12:26:00Z</dcterms:modified>
</cp:coreProperties>
</file>